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rPr>
          <w:kern w:val="0"/>
          <w:sz w:val="30"/>
          <w:szCs w:val="30"/>
        </w:rPr>
      </w:pPr>
    </w:p>
    <w:p>
      <w:pPr>
        <w:pStyle w:val="49"/>
        <w:spacing w:line="540" w:lineRule="exact"/>
        <w:rPr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</w:rPr>
        <w:t>基层政协补助经费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12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31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hint="eastAsia" w:ascii="黑体" w:hAnsi="黑体" w:eastAsia="黑体" w:cs="Arial Unicode MS"/>
          <w:b w:val="0"/>
          <w:bCs/>
          <w:spacing w:val="-4"/>
          <w:sz w:val="32"/>
          <w:szCs w:val="32"/>
        </w:rPr>
      </w:pP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 w:cs="Arial Unicode MS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Arial Unicode MS"/>
          <w:b w:val="0"/>
          <w:bCs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（一）项目单位基本情况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县政协单位基本情况，包括：县政协主要职能和机构设置情况、年末编制情况、实有人数情况等。</w:t>
      </w:r>
    </w:p>
    <w:p>
      <w:pPr>
        <w:pStyle w:val="16"/>
        <w:widowControl/>
        <w:spacing w:line="500" w:lineRule="exact"/>
        <w:ind w:firstLine="59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．主要职能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一是政治协商。主要是对党委政府在社会主义物质文明建设、精神文明建设、民主法制建设、民主政治建设和改革开放中的重要政策及重要部署；一府两院工作报告，财政预决算报告，经济与社会发展规划；全县政治生活方面的重要事项；政协有关政策；政协内部的重要事务以及其他重要问题进行协商。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二是民主监督。主要是对国家法律法规的实施情况，县委、县政府重要政策的贯彻落实情况，国民经济和社会发展计划及财政预算执行情况，政协机关及其工作人员履行职责、遵守法纪、为政清廉等方面的情况，参加政协的单位和个人遵守政协章程和执行决议的情况进行监督。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三是参政议政。主要是对人民群众关心、党政县政协重视、政协有条件做的课题，组织调查视察，向党政领导机关提出意见建议；通过各种方式充分发挥委员主体作用，为经济和社会又好又快发展献计献策。</w:t>
      </w:r>
    </w:p>
    <w:p>
      <w:pPr>
        <w:spacing w:line="50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 xml:space="preserve">    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四是政协会议。召集县政协全体委员会议，行使选举、听取、审议等职权。</w:t>
      </w:r>
    </w:p>
    <w:p>
      <w:pPr>
        <w:spacing w:line="500" w:lineRule="exact"/>
        <w:ind w:firstLine="48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五是委员活动。做好驻县全国政协委员、自治区政协委员的联络工作。联系有组织县政协委员及驻县全国政协委员、自治区政协委员的开展视察、专题调研等工作；负责县政协委员提出的提案、代表建议、批评和意见的交办、转办、督办、考察交流等工作，负责县政协委员的学习培训等工作。</w:t>
      </w:r>
    </w:p>
    <w:p>
      <w:pPr>
        <w:spacing w:line="500" w:lineRule="exact"/>
        <w:ind w:firstLine="48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六是综合管理。负责县全体委员会议、常委会议、主席会议、专题座谈会、研讨会和其他有关会议的会务，组织和实施县政协全体委员会议、常务委员会议、主席会议的决议和决定，负责县全体委员的调研、视察、考察、座谈等活动的组织和实施等服务工作，负责县政协的信息宣传工作，负责与上下级政协机关、委员、民主党派、人民团人体与县委、政府等有关部门的联系、协商工作，负责县政协开展活动的协商服务工作。</w:t>
      </w:r>
    </w:p>
    <w:p>
      <w:pPr>
        <w:pStyle w:val="16"/>
        <w:widowControl/>
        <w:spacing w:line="500" w:lineRule="exact"/>
        <w:ind w:firstLine="47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．机构情况及人员情况</w:t>
      </w:r>
    </w:p>
    <w:p>
      <w:pPr>
        <w:pStyle w:val="16"/>
        <w:widowControl/>
        <w:spacing w:line="500" w:lineRule="exact"/>
        <w:ind w:firstLine="64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县政协是在地区政协指导和县委领导下履行“政治协商、民主监督、参政议政”职能的重要机构。编制人数</w:t>
      </w:r>
      <w:r>
        <w:rPr>
          <w:rFonts w:ascii="仿宋" w:hAnsi="仿宋" w:eastAsia="仿宋"/>
          <w:bCs/>
          <w:spacing w:val="-4"/>
          <w:sz w:val="32"/>
          <w:szCs w:val="32"/>
        </w:rPr>
        <w:t>11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人，其中行政编制</w:t>
      </w:r>
      <w:r>
        <w:rPr>
          <w:rFonts w:ascii="仿宋" w:hAnsi="仿宋" w:eastAsia="仿宋"/>
          <w:bCs/>
          <w:spacing w:val="-4"/>
          <w:sz w:val="32"/>
          <w:szCs w:val="32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人，工勤编制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人；县政协总人数</w:t>
      </w:r>
      <w:r>
        <w:rPr>
          <w:rFonts w:ascii="仿宋" w:hAnsi="仿宋" w:eastAsia="仿宋"/>
          <w:bCs/>
          <w:spacing w:val="-4"/>
          <w:sz w:val="32"/>
          <w:szCs w:val="32"/>
        </w:rPr>
        <w:t>35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人，其中在职人员</w:t>
      </w:r>
      <w:r>
        <w:rPr>
          <w:rFonts w:ascii="仿宋" w:hAnsi="仿宋" w:eastAsia="仿宋"/>
          <w:bCs/>
          <w:spacing w:val="-4"/>
          <w:sz w:val="32"/>
          <w:szCs w:val="32"/>
        </w:rPr>
        <w:t>11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人，比上年增加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人，主要是新调进主任科员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人，在职人员中正处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人，副处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人，正科</w:t>
      </w:r>
      <w:r>
        <w:rPr>
          <w:rFonts w:ascii="宋体" w:cs="宋体"/>
          <w:bCs/>
          <w:spacing w:val="-4"/>
          <w:sz w:val="32"/>
          <w:szCs w:val="32"/>
        </w:rPr>
        <w:t> 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人，副科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人，科员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人，工勤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人；退休</w:t>
      </w:r>
      <w:r>
        <w:rPr>
          <w:rFonts w:ascii="仿宋" w:hAnsi="仿宋" w:eastAsia="仿宋"/>
          <w:bCs/>
          <w:spacing w:val="-4"/>
          <w:sz w:val="32"/>
          <w:szCs w:val="32"/>
        </w:rPr>
        <w:t>24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人，比上年减少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人主要是今年死亡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人。遗属补助</w:t>
      </w:r>
      <w:r>
        <w:rPr>
          <w:rFonts w:ascii="仿宋" w:hAnsi="仿宋" w:eastAsia="仿宋"/>
          <w:bCs/>
          <w:spacing w:val="-4"/>
          <w:sz w:val="32"/>
          <w:szCs w:val="32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人。我单位车辆编制数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辆，实有数</w:t>
      </w:r>
      <w:r>
        <w:rPr>
          <w:rFonts w:ascii="仿宋" w:hAnsi="仿宋" w:eastAsia="仿宋"/>
          <w:bCs/>
          <w:spacing w:val="-4"/>
          <w:sz w:val="32"/>
          <w:szCs w:val="32"/>
        </w:rPr>
        <w:t>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辆，新增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车辆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辆。</w:t>
      </w:r>
    </w:p>
    <w:p>
      <w:pPr>
        <w:spacing w:line="500" w:lineRule="exact"/>
        <w:ind w:left="640"/>
        <w:contextualSpacing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3、职责分工</w:t>
      </w:r>
    </w:p>
    <w:p>
      <w:pPr>
        <w:spacing w:line="500" w:lineRule="exact"/>
        <w:ind w:left="640"/>
        <w:contextualSpacing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为全力做好2019年绩效监控管理工作,县政协在办公室</w:t>
      </w:r>
    </w:p>
    <w:p>
      <w:pPr>
        <w:spacing w:line="500" w:lineRule="exact"/>
        <w:contextualSpacing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人员不足的情况下，按照“</w:t>
      </w:r>
      <w:r>
        <w:rPr>
          <w:rFonts w:ascii="仿宋" w:hAnsi="仿宋" w:eastAsia="仿宋" w:cs="宋体"/>
          <w:sz w:val="32"/>
          <w:szCs w:val="32"/>
        </w:rPr>
        <w:t>建立健全工作机构，明确专人具体负责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的要求，</w:t>
      </w:r>
      <w:r>
        <w:rPr>
          <w:rFonts w:hint="eastAsia" w:ascii="仿宋" w:hAnsi="仿宋" w:eastAsia="仿宋"/>
          <w:sz w:val="32"/>
          <w:szCs w:val="32"/>
        </w:rPr>
        <w:t>成立绩效审核小组，</w:t>
      </w:r>
      <w:r>
        <w:rPr>
          <w:rFonts w:hint="eastAsia" w:ascii="仿宋" w:hAnsi="仿宋" w:eastAsia="仿宋" w:cs="宋体"/>
          <w:sz w:val="32"/>
          <w:szCs w:val="32"/>
        </w:rPr>
        <w:t>具体如下: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组　长:　尹宏志 (县政协党组成员、副主席)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副组长：林垚江 （办公室主任）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成　员：王菊红（会计）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　　　　包林霞（办公室秘书）</w:t>
      </w:r>
    </w:p>
    <w:p>
      <w:pPr>
        <w:spacing w:before="100" w:beforeAutospacing="1" w:after="100" w:afterAutospacing="1" w:line="500" w:lineRule="exact"/>
        <w:ind w:firstLine="643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职责分工</w:t>
      </w:r>
      <w:r>
        <w:rPr>
          <w:rFonts w:hint="eastAsia" w:ascii="仿宋" w:hAnsi="仿宋" w:eastAsia="仿宋" w:cs="宋体"/>
          <w:sz w:val="32"/>
          <w:szCs w:val="32"/>
        </w:rPr>
        <w:t>：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尹宏志：负责绩效监控目标最终审核工作。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林垚江：作为本单位财务负责人，根据县政协工作年初目标，计划组织与实施单位各项业务工作开展情况，并设定绩效目标计划及绩效监控实施情况。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包林霞：绩效目标监控施设阶段的各项印证材料并协助夏提姑丽·阿布都依木做好其他方面的工作。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王菊红：负责绩效监控报表项目及相关报表的填写及上报工作。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spacing w:line="500" w:lineRule="exact"/>
        <w:ind w:firstLine="800"/>
        <w:contextualSpacing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2018年基层政协补助经费14万元，主要是机关及各政协委员调研视察等补助经费。计划全年纳入绩效监控的预期目标值为7万元，月目标值为1.17万元，1-6月份预期计划目标值为7万，7-12月份预期计划目标值为7万元。</w:t>
      </w:r>
    </w:p>
    <w:p>
      <w:pPr>
        <w:spacing w:line="50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spacing w:line="50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县基层政协补助的基本性质是行政事业性公务类经费，由自治区及地区每年补助基层政协的延续性项目。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主要用于补助基层政协办公、委员活动等经费不足的情况，涉及范围包括开展委员视察、专题调研、办复提案、课题研究、反映社情民意等相关工作，举办委员学习班，召开工作会议，发挥人民政协参政议政职能，此项经费解决各级政协委员调研视察餐费、交通费、误工费等办公各项费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基层政协补助经费预算安排总额为</w:t>
      </w:r>
      <w:r>
        <w:rPr>
          <w:rFonts w:ascii="仿宋" w:hAnsi="仿宋" w:eastAsia="仿宋"/>
          <w:bCs/>
          <w:spacing w:val="-4"/>
          <w:sz w:val="32"/>
          <w:szCs w:val="32"/>
        </w:rPr>
        <w:t>14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ascii="仿宋" w:hAnsi="仿宋" w:eastAsia="仿宋"/>
          <w:bCs/>
          <w:spacing w:val="-4"/>
          <w:sz w:val="32"/>
          <w:szCs w:val="32"/>
        </w:rPr>
        <w:t>14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 xml:space="preserve"> 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ascii="仿宋" w:hAnsi="仿宋" w:eastAsia="仿宋"/>
          <w:bCs/>
          <w:spacing w:val="-4"/>
          <w:sz w:val="32"/>
          <w:szCs w:val="32"/>
        </w:rPr>
        <w:t>14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万元，资金拨付率达100%。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（二）项目资金实际使用情况分析</w:t>
      </w:r>
    </w:p>
    <w:p>
      <w:pPr>
        <w:spacing w:line="500" w:lineRule="exact"/>
        <w:ind w:firstLine="758" w:firstLineChars="243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ascii="仿宋" w:hAnsi="仿宋" w:eastAsia="仿宋"/>
          <w:bCs/>
          <w:spacing w:val="-4"/>
          <w:sz w:val="32"/>
          <w:szCs w:val="32"/>
        </w:rPr>
        <w:t>14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项目资金主要用于委员活动经费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8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.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08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万元，委员慰问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2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.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3200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万元，车辆维修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万元，车辆租赁0.6万元，目标完成率达100%。</w:t>
      </w:r>
      <w:r>
        <w:rPr>
          <w:rStyle w:val="19"/>
          <w:rFonts w:ascii="楷体" w:hAnsi="楷体" w:eastAsia="楷体"/>
          <w:bCs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基层补助经费支出中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该项目属于经常性零星项目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,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没有达到招投标限额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,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（二）项目管理情况分析</w:t>
      </w:r>
    </w:p>
    <w:p>
      <w:pPr>
        <w:spacing w:line="50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在项目实施过程中全力保障县政协委员调研视察等工作的落实。一是结全工作实际情况，责任到人，将经费按月列出支出时间表，使各项支出有计划的开展，提高了预算执行率。二是加强督促检查。对于重大项目支出召开主席会研究决定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。项目的实施遵守相关法律法规和业务管理规定，项目资料齐全并及时归档。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Cs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00" w:lineRule="exact"/>
        <w:ind w:firstLine="624"/>
        <w:contextualSpacing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本项目支出绩效目标完成率达100%，预算执行率达100%，整体完成较好，具体分析如下：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</w:t>
      </w:r>
      <w:r>
        <w:rPr>
          <w:rFonts w:ascii="仿宋" w:hAnsi="仿宋" w:eastAsia="仿宋"/>
          <w:bCs/>
          <w:spacing w:val="-4"/>
          <w:sz w:val="32"/>
          <w:szCs w:val="32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个，三级指标</w:t>
      </w:r>
      <w:r>
        <w:rPr>
          <w:rFonts w:ascii="仿宋" w:hAnsi="仿宋" w:eastAsia="仿宋"/>
          <w:bCs/>
          <w:spacing w:val="-4"/>
          <w:sz w:val="32"/>
          <w:szCs w:val="32"/>
        </w:rPr>
        <w:t>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个，其中已完成三级指标</w:t>
      </w:r>
      <w:r>
        <w:rPr>
          <w:rFonts w:ascii="仿宋" w:hAnsi="仿宋" w:eastAsia="仿宋"/>
          <w:bCs/>
          <w:spacing w:val="-4"/>
          <w:sz w:val="32"/>
          <w:szCs w:val="32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个，指标完成率为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从经济指标上分析：开展调研视察、专门调研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次，上报专题调研报告材料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份，实际完成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份，上报提案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39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个，召开委员活动工作会议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次，车辆租赁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次等。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2018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年从质量指标上完成既定工作会议达到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100%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，从时效指标上完成调研视察达到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100%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，从成本指标上分析委员活动经费标准达到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800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元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人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年，车辆维修标准达到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7500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元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辆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年，车辆租赁达到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2000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元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次，委员慰问达到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585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元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人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年。从社会效益上分析办理已解决的提案达到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90%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，调研视察为县委政府的决定提代了参考。收集政协委员反映的问题，了解委员对其满意程度达到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90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未完成情况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分析</w:t>
      </w:r>
      <w:r>
        <w:rPr>
          <w:rFonts w:ascii="仿宋" w:hAnsi="仿宋" w:eastAsia="仿宋"/>
          <w:spacing w:val="-4"/>
          <w:sz w:val="32"/>
          <w:szCs w:val="32"/>
        </w:rPr>
        <w:t>:2018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0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该项目后续主要是开展委员视察、专题调研、办复提案、课题研究、反映社情民意等总结相关工作，举办委员学习班，召开工作会议，慰问抗震救灾人员，发挥人民政协参政议政职能。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 xml:space="preserve"> </w:t>
      </w:r>
    </w:p>
    <w:p>
      <w:pPr>
        <w:spacing w:line="50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项目资金于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4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月份到位后，立即开会确定实施方案及实施范围，并形成报告上报县财经领导小组批准使用。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spacing w:line="500" w:lineRule="exact"/>
        <w:ind w:firstLine="755" w:firstLineChars="24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存在的问题：</w:t>
      </w:r>
    </w:p>
    <w:p>
      <w:pPr>
        <w:spacing w:line="500" w:lineRule="exact"/>
        <w:ind w:firstLine="755" w:firstLineChars="24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一是根据项目实施情况，第一、二季度支出偏低，主要是资金于</w:t>
      </w:r>
      <w:r>
        <w:rPr>
          <w:rFonts w:ascii="仿宋" w:hAnsi="仿宋" w:eastAsia="仿宋"/>
          <w:bCs/>
          <w:spacing w:val="-4"/>
          <w:sz w:val="32"/>
          <w:szCs w:val="32"/>
        </w:rPr>
        <w:t>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月才到位，必须上报实施方案上报县财经领导小组批准方可使用。</w:t>
      </w:r>
    </w:p>
    <w:p>
      <w:pPr>
        <w:spacing w:line="500" w:lineRule="exact"/>
        <w:ind w:firstLine="755" w:firstLineChars="24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二是对项目绩效认识不到位，存在集中花钱办事的情况。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spacing w:line="500" w:lineRule="exact"/>
        <w:ind w:firstLine="755" w:firstLineChars="24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针对绩效评价过程中的问题，一是科学地做好支出进度安排，并在实施过程加强监督，加快支出进度。二是做好预算编制安排，争取每月支出达到相对均衡。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六、项目评价工作情况</w:t>
      </w:r>
    </w:p>
    <w:p>
      <w:pPr>
        <w:spacing w:line="450" w:lineRule="atLeast"/>
        <w:ind w:firstLine="567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本次绩效评价共分三个阶段</w:t>
      </w:r>
      <w:r>
        <w:rPr>
          <w:rFonts w:ascii="仿宋" w:hAnsi="仿宋" w:eastAsia="仿宋"/>
          <w:bCs/>
          <w:spacing w:val="-4"/>
          <w:sz w:val="32"/>
          <w:szCs w:val="32"/>
        </w:rPr>
        <w:t>,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一是绩效评价准备。召开学习准备会，通过对财政预算绩效评价相关文件的学习，制定实施方案，成立评价小组。二是绩效评价实施。严格按照规定组织实施绩效评价，查阅和收集有关数据资料，并进行认真分析，初步计算出各评价指标分值。三是绩效评价报告形成。通过对各项资料进行归纳整理，形成绩效评价报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A6457"/>
    <w:rsid w:val="00084D7B"/>
    <w:rsid w:val="000936E1"/>
    <w:rsid w:val="0012208E"/>
    <w:rsid w:val="00135256"/>
    <w:rsid w:val="00175C30"/>
    <w:rsid w:val="001A4E1F"/>
    <w:rsid w:val="001A57B9"/>
    <w:rsid w:val="001C3847"/>
    <w:rsid w:val="001F3031"/>
    <w:rsid w:val="00210A26"/>
    <w:rsid w:val="00276334"/>
    <w:rsid w:val="002A2532"/>
    <w:rsid w:val="002A2D76"/>
    <w:rsid w:val="00365250"/>
    <w:rsid w:val="0036624C"/>
    <w:rsid w:val="00385849"/>
    <w:rsid w:val="003D087F"/>
    <w:rsid w:val="003F1A98"/>
    <w:rsid w:val="0044770D"/>
    <w:rsid w:val="00486654"/>
    <w:rsid w:val="0050167F"/>
    <w:rsid w:val="00514506"/>
    <w:rsid w:val="005162F1"/>
    <w:rsid w:val="00516E80"/>
    <w:rsid w:val="00535153"/>
    <w:rsid w:val="005357D2"/>
    <w:rsid w:val="00575CFE"/>
    <w:rsid w:val="00583AFC"/>
    <w:rsid w:val="00592D09"/>
    <w:rsid w:val="005A170C"/>
    <w:rsid w:val="00675D58"/>
    <w:rsid w:val="006F2E6D"/>
    <w:rsid w:val="006F36E7"/>
    <w:rsid w:val="007218B8"/>
    <w:rsid w:val="00723AA3"/>
    <w:rsid w:val="00755C6A"/>
    <w:rsid w:val="00756020"/>
    <w:rsid w:val="00785FDE"/>
    <w:rsid w:val="00793E8D"/>
    <w:rsid w:val="007A0351"/>
    <w:rsid w:val="007A14BC"/>
    <w:rsid w:val="007B79D0"/>
    <w:rsid w:val="007C046E"/>
    <w:rsid w:val="007C1025"/>
    <w:rsid w:val="007C6A1D"/>
    <w:rsid w:val="007E6845"/>
    <w:rsid w:val="007F5F8A"/>
    <w:rsid w:val="00826CA1"/>
    <w:rsid w:val="00835B7F"/>
    <w:rsid w:val="00855E3A"/>
    <w:rsid w:val="00882985"/>
    <w:rsid w:val="008D1009"/>
    <w:rsid w:val="00922CB9"/>
    <w:rsid w:val="009350F7"/>
    <w:rsid w:val="009A0524"/>
    <w:rsid w:val="009A0C61"/>
    <w:rsid w:val="009B526F"/>
    <w:rsid w:val="009C1AFD"/>
    <w:rsid w:val="009D4BFB"/>
    <w:rsid w:val="00A26421"/>
    <w:rsid w:val="00A4293B"/>
    <w:rsid w:val="00A83BD5"/>
    <w:rsid w:val="00A8565C"/>
    <w:rsid w:val="00A977DF"/>
    <w:rsid w:val="00AE6A23"/>
    <w:rsid w:val="00B06CA5"/>
    <w:rsid w:val="00B13FCF"/>
    <w:rsid w:val="00B25529"/>
    <w:rsid w:val="00B41F61"/>
    <w:rsid w:val="00B55332"/>
    <w:rsid w:val="00B86E8C"/>
    <w:rsid w:val="00BE1A00"/>
    <w:rsid w:val="00C22CF0"/>
    <w:rsid w:val="00C56C72"/>
    <w:rsid w:val="00C63336"/>
    <w:rsid w:val="00C71BEB"/>
    <w:rsid w:val="00CA6457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397F4FE8"/>
    <w:rsid w:val="407640B3"/>
    <w:rsid w:val="58B73F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2"/>
    <w:uiPriority w:val="99"/>
    <w:rPr>
      <w:sz w:val="18"/>
      <w:szCs w:val="18"/>
    </w:rPr>
  </w:style>
  <w:style w:type="paragraph" w:styleId="13">
    <w:name w:val="footer"/>
    <w:basedOn w:val="1"/>
    <w:link w:val="33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qFormat/>
    <w:locked/>
    <w:uiPriority w:val="99"/>
    <w:rPr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</w:rPr>
  </w:style>
  <w:style w:type="character" w:customStyle="1" w:styleId="22">
    <w:name w:val="标题 1 Char"/>
    <w:basedOn w:val="18"/>
    <w:link w:val="2"/>
    <w:qFormat/>
    <w:locked/>
    <w:uiPriority w:val="99"/>
    <w:rPr>
      <w:rFonts w:ascii="Cambria" w:hAnsi="Cambria" w:eastAsia="宋体"/>
      <w:b/>
      <w:kern w:val="32"/>
      <w:sz w:val="32"/>
    </w:rPr>
  </w:style>
  <w:style w:type="character" w:customStyle="1" w:styleId="23">
    <w:name w:val="标题 2 Char"/>
    <w:basedOn w:val="18"/>
    <w:link w:val="3"/>
    <w:semiHidden/>
    <w:qFormat/>
    <w:locked/>
    <w:uiPriority w:val="99"/>
    <w:rPr>
      <w:rFonts w:ascii="Cambria" w:hAnsi="Cambria" w:eastAsia="宋体"/>
      <w:b/>
      <w:i/>
      <w:sz w:val="28"/>
    </w:rPr>
  </w:style>
  <w:style w:type="character" w:customStyle="1" w:styleId="24">
    <w:name w:val="标题 3 Char"/>
    <w:basedOn w:val="18"/>
    <w:link w:val="4"/>
    <w:semiHidden/>
    <w:qFormat/>
    <w:locked/>
    <w:uiPriority w:val="99"/>
    <w:rPr>
      <w:rFonts w:ascii="Cambria" w:hAnsi="Cambria" w:eastAsia="宋体"/>
      <w:b/>
      <w:sz w:val="26"/>
    </w:rPr>
  </w:style>
  <w:style w:type="character" w:customStyle="1" w:styleId="25">
    <w:name w:val="标题 4 Char"/>
    <w:basedOn w:val="18"/>
    <w:link w:val="5"/>
    <w:semiHidden/>
    <w:qFormat/>
    <w:locked/>
    <w:uiPriority w:val="99"/>
    <w:rPr>
      <w:b/>
      <w:sz w:val="28"/>
    </w:rPr>
  </w:style>
  <w:style w:type="character" w:customStyle="1" w:styleId="26">
    <w:name w:val="标题 5 Char"/>
    <w:basedOn w:val="18"/>
    <w:link w:val="6"/>
    <w:semiHidden/>
    <w:qFormat/>
    <w:locked/>
    <w:uiPriority w:val="99"/>
    <w:rPr>
      <w:b/>
      <w:i/>
      <w:sz w:val="26"/>
    </w:rPr>
  </w:style>
  <w:style w:type="character" w:customStyle="1" w:styleId="27">
    <w:name w:val="标题 6 Char"/>
    <w:basedOn w:val="18"/>
    <w:link w:val="7"/>
    <w:semiHidden/>
    <w:locked/>
    <w:uiPriority w:val="99"/>
    <w:rPr>
      <w:b/>
    </w:rPr>
  </w:style>
  <w:style w:type="character" w:customStyle="1" w:styleId="28">
    <w:name w:val="标题 7 Char"/>
    <w:basedOn w:val="18"/>
    <w:link w:val="8"/>
    <w:semiHidden/>
    <w:qFormat/>
    <w:locked/>
    <w:uiPriority w:val="99"/>
    <w:rPr>
      <w:sz w:val="24"/>
    </w:rPr>
  </w:style>
  <w:style w:type="character" w:customStyle="1" w:styleId="29">
    <w:name w:val="标题 8 Char"/>
    <w:basedOn w:val="18"/>
    <w:link w:val="9"/>
    <w:semiHidden/>
    <w:locked/>
    <w:uiPriority w:val="99"/>
    <w:rPr>
      <w:i/>
      <w:sz w:val="24"/>
    </w:rPr>
  </w:style>
  <w:style w:type="character" w:customStyle="1" w:styleId="30">
    <w:name w:val="标题 9 Char"/>
    <w:basedOn w:val="18"/>
    <w:link w:val="10"/>
    <w:semiHidden/>
    <w:locked/>
    <w:uiPriority w:val="99"/>
    <w:rPr>
      <w:rFonts w:ascii="Cambria" w:hAnsi="Cambria" w:eastAsia="宋体"/>
    </w:rPr>
  </w:style>
  <w:style w:type="character" w:customStyle="1" w:styleId="31">
    <w:name w:val="文档结构图 Char"/>
    <w:basedOn w:val="18"/>
    <w:link w:val="11"/>
    <w:semiHidden/>
    <w:qFormat/>
    <w:locked/>
    <w:uiPriority w:val="99"/>
    <w:rPr>
      <w:rFonts w:ascii="宋体" w:hAnsi="Times New Roman" w:eastAsia="宋体"/>
      <w:kern w:val="2"/>
      <w:sz w:val="18"/>
    </w:rPr>
  </w:style>
  <w:style w:type="character" w:customStyle="1" w:styleId="32">
    <w:name w:val="批注框文本 Char"/>
    <w:basedOn w:val="18"/>
    <w:link w:val="12"/>
    <w:semiHidden/>
    <w:locked/>
    <w:uiPriority w:val="99"/>
    <w:rPr>
      <w:rFonts w:ascii="Times New Roman" w:hAnsi="Times New Roman" w:eastAsia="宋体"/>
      <w:kern w:val="2"/>
      <w:sz w:val="18"/>
    </w:rPr>
  </w:style>
  <w:style w:type="character" w:customStyle="1" w:styleId="33">
    <w:name w:val="页脚 Char"/>
    <w:basedOn w:val="18"/>
    <w:link w:val="13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34">
    <w:name w:val="页眉 Char"/>
    <w:basedOn w:val="18"/>
    <w:link w:val="14"/>
    <w:locked/>
    <w:uiPriority w:val="99"/>
    <w:rPr>
      <w:rFonts w:ascii="Calibri" w:hAnsi="Calibri" w:eastAsia="宋体"/>
      <w:kern w:val="2"/>
      <w:sz w:val="18"/>
    </w:rPr>
  </w:style>
  <w:style w:type="character" w:customStyle="1" w:styleId="35">
    <w:name w:val="副标题 Char"/>
    <w:basedOn w:val="18"/>
    <w:link w:val="15"/>
    <w:locked/>
    <w:uiPriority w:val="99"/>
    <w:rPr>
      <w:rFonts w:ascii="Cambria" w:hAnsi="Cambria" w:eastAsia="宋体"/>
      <w:sz w:val="24"/>
    </w:rPr>
  </w:style>
  <w:style w:type="character" w:customStyle="1" w:styleId="36">
    <w:name w:val="标题 Char"/>
    <w:basedOn w:val="18"/>
    <w:link w:val="17"/>
    <w:locked/>
    <w:uiPriority w:val="99"/>
    <w:rPr>
      <w:rFonts w:ascii="Cambria" w:hAnsi="Cambria" w:eastAsia="宋体"/>
      <w:b/>
      <w:kern w:val="28"/>
      <w:sz w:val="32"/>
    </w:rPr>
  </w:style>
  <w:style w:type="paragraph" w:customStyle="1" w:styleId="37">
    <w:name w:val="无间隔1"/>
    <w:basedOn w:val="1"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38">
    <w:name w:val="列表段落1"/>
    <w:basedOn w:val="1"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39">
    <w:name w:val="引用1"/>
    <w:basedOn w:val="1"/>
    <w:next w:val="1"/>
    <w:link w:val="40"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link w:val="39"/>
    <w:qFormat/>
    <w:locked/>
    <w:uiPriority w:val="99"/>
    <w:rPr>
      <w:i/>
      <w:sz w:val="24"/>
    </w:rPr>
  </w:style>
  <w:style w:type="paragraph" w:customStyle="1" w:styleId="41">
    <w:name w:val="明显引用1"/>
    <w:basedOn w:val="1"/>
    <w:next w:val="1"/>
    <w:link w:val="42"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link w:val="41"/>
    <w:qFormat/>
    <w:locked/>
    <w:uiPriority w:val="99"/>
    <w:rPr>
      <w:b/>
      <w:i/>
      <w:sz w:val="24"/>
    </w:rPr>
  </w:style>
  <w:style w:type="character" w:customStyle="1" w:styleId="43">
    <w:name w:val="不明显强调1"/>
    <w:qFormat/>
    <w:uiPriority w:val="99"/>
    <w:rPr>
      <w:i/>
      <w:color w:val="5A5A5A"/>
    </w:rPr>
  </w:style>
  <w:style w:type="character" w:customStyle="1" w:styleId="44">
    <w:name w:val="明显强调1"/>
    <w:uiPriority w:val="99"/>
    <w:rPr>
      <w:b/>
      <w:i/>
      <w:sz w:val="24"/>
      <w:u w:val="single"/>
    </w:rPr>
  </w:style>
  <w:style w:type="character" w:customStyle="1" w:styleId="45">
    <w:name w:val="不明显参考1"/>
    <w:uiPriority w:val="99"/>
    <w:rPr>
      <w:sz w:val="24"/>
      <w:u w:val="single"/>
    </w:rPr>
  </w:style>
  <w:style w:type="character" w:customStyle="1" w:styleId="46">
    <w:name w:val="明显参考1"/>
    <w:qFormat/>
    <w:uiPriority w:val="99"/>
    <w:rPr>
      <w:b/>
      <w:sz w:val="24"/>
      <w:u w:val="single"/>
    </w:rPr>
  </w:style>
  <w:style w:type="character" w:customStyle="1" w:styleId="47">
    <w:name w:val="书籍标题1"/>
    <w:qFormat/>
    <w:uiPriority w:val="99"/>
    <w:rPr>
      <w:rFonts w:ascii="Cambria" w:hAnsi="Cambria" w:eastAsia="宋体"/>
      <w:b/>
      <w:i/>
      <w:sz w:val="24"/>
    </w:rPr>
  </w:style>
  <w:style w:type="paragraph" w:customStyle="1" w:styleId="48">
    <w:name w:val="TOC 标题1"/>
    <w:basedOn w:val="2"/>
    <w:next w:val="1"/>
    <w:qFormat/>
    <w:uiPriority w:val="99"/>
    <w:pPr>
      <w:outlineLvl w:val="9"/>
    </w:pPr>
    <w:rPr>
      <w:lang w:eastAsia="en-US"/>
    </w:rPr>
  </w:style>
  <w:style w:type="paragraph" w:customStyle="1" w:styleId="49">
    <w:name w:val="正文 A"/>
    <w:qFormat/>
    <w:uiPriority w:val="99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495</Words>
  <Characters>2825</Characters>
  <Lines>23</Lines>
  <Paragraphs>6</Paragraphs>
  <TotalTime>22</TotalTime>
  <ScaleCrop>false</ScaleCrop>
  <LinksUpToDate>false</LinksUpToDate>
  <CharactersWithSpaces>3314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五月</dc:creator>
  <cp:lastModifiedBy>Lenovo</cp:lastModifiedBy>
  <cp:lastPrinted>2018-12-17T10:15:00Z</cp:lastPrinted>
  <dcterms:modified xsi:type="dcterms:W3CDTF">2019-09-22T09:52:10Z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